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rPr>
          <w:rFonts w:ascii="Arial" w:cs="Arial" w:hAnsi="Arial" w:eastAsia="Arial"/>
          <w:outline w:val="0"/>
          <w:color w:val="212529"/>
          <w:sz w:val="22"/>
          <w:szCs w:val="22"/>
          <w:u w:color="212529"/>
          <w:shd w:val="clear" w:color="auto" w:fill="ffffff"/>
          <w14:textFill>
            <w14:solidFill>
              <w14:srgbClr w14:val="212529"/>
            </w14:solidFill>
          </w14:textFill>
        </w:rPr>
      </w:pP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jc w:val="center"/>
        <w:rPr>
          <w:sz w:val="30"/>
          <w:szCs w:val="30"/>
          <w:lang w:val="en-US"/>
        </w:rPr>
      </w:pPr>
      <w:r>
        <w:rPr>
          <w:b w:val="1"/>
          <w:bCs w:val="1"/>
          <w:sz w:val="30"/>
          <w:szCs w:val="30"/>
          <w:rtl w:val="0"/>
          <w:lang w:val="en-US"/>
        </w:rPr>
        <w:t xml:space="preserve">Building the anti-war movement in </w:t>
      </w:r>
      <w:r>
        <w:rPr>
          <w:b w:val="1"/>
          <w:bCs w:val="1"/>
          <w:sz w:val="30"/>
          <w:szCs w:val="30"/>
          <w:rtl w:val="0"/>
          <w:lang w:val="en-US"/>
        </w:rPr>
        <w:t>[name of group/place]</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rPr>
          <w:b w:val="1"/>
          <w:bCs w:val="1"/>
          <w:lang w:val="en-US"/>
        </w:rPr>
      </w:pP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ind w:left="360" w:firstLine="0"/>
        <w:rPr>
          <w:b w:val="1"/>
          <w:bCs w:val="1"/>
          <w:sz w:val="22"/>
          <w:szCs w:val="22"/>
          <w:lang w:val="en-US"/>
        </w:rPr>
      </w:pPr>
      <w:r>
        <w:rPr>
          <w:b w:val="1"/>
          <w:bCs w:val="1"/>
          <w:rtl w:val="0"/>
          <w:lang w:val="en-US"/>
        </w:rPr>
        <w:t>[Group name]</w:t>
      </w:r>
      <w:r>
        <w:rPr>
          <w:b w:val="1"/>
          <w:bCs w:val="1"/>
          <w:sz w:val="22"/>
          <w:szCs w:val="22"/>
          <w:rtl w:val="0"/>
          <w:lang w:val="en-US"/>
        </w:rPr>
        <w:t xml:space="preserve"> StW AGM notes:</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ind w:left="360" w:firstLine="0"/>
        <w:rPr>
          <w:b w:val="1"/>
          <w:bCs w:val="1"/>
          <w:sz w:val="22"/>
          <w:szCs w:val="22"/>
        </w:rPr>
      </w:pPr>
    </w:p>
    <w:p>
      <w:pPr>
        <w:pStyle w:val="Default"/>
        <w:numPr>
          <w:ilvl w:val="0"/>
          <w:numId w:val="2"/>
        </w:numPr>
        <w:bidi w:val="0"/>
        <w:spacing w:before="0"/>
        <w:ind w:right="0"/>
        <w:jc w:val="left"/>
        <w:rPr>
          <w:sz w:val="22"/>
          <w:szCs w:val="22"/>
          <w:rtl w:val="0"/>
          <w:lang w:val="en-US"/>
        </w:rPr>
      </w:pPr>
      <w:r>
        <w:rPr>
          <w:sz w:val="22"/>
          <w:szCs w:val="22"/>
          <w:rtl w:val="0"/>
          <w:lang w:val="en-US"/>
        </w:rPr>
        <w:t>XX</w:t>
      </w:r>
      <w:r>
        <w:rPr>
          <w:sz w:val="22"/>
          <w:szCs w:val="22"/>
          <w:rtl w:val="0"/>
          <w:lang w:val="en-US"/>
        </w:rPr>
        <w:t xml:space="preserve"> Stop the War coalition has played a vital role in the local Palestine movement, sending coaches to London every time there is a national demo and building a united front for welfare not warfare, wages not weapons. Wars never benefit the working class, whether at home or abroad.</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ind w:left="720" w:firstLine="0"/>
        <w:rPr>
          <w:sz w:val="22"/>
          <w:szCs w:val="22"/>
        </w:rPr>
      </w:pPr>
    </w:p>
    <w:p>
      <w:pPr>
        <w:pStyle w:val="Default"/>
        <w:numPr>
          <w:ilvl w:val="0"/>
          <w:numId w:val="2"/>
        </w:numPr>
        <w:bidi w:val="0"/>
        <w:spacing w:before="0"/>
        <w:ind w:right="0"/>
        <w:jc w:val="left"/>
        <w:rPr>
          <w:sz w:val="22"/>
          <w:szCs w:val="22"/>
          <w:rtl w:val="0"/>
          <w:lang w:val="en-US"/>
        </w:rPr>
      </w:pPr>
      <w:r>
        <w:rPr>
          <w:sz w:val="22"/>
          <w:szCs w:val="22"/>
          <w:rtl w:val="0"/>
          <w:lang w:val="en-US"/>
        </w:rPr>
        <w:t xml:space="preserve">This branch helped mobilise local trade union branches and trade union councils in </w:t>
      </w:r>
      <w:r>
        <w:rPr>
          <w:sz w:val="22"/>
          <w:szCs w:val="22"/>
          <w:rtl w:val="0"/>
          <w:lang w:val="en-US"/>
        </w:rPr>
        <w:t>XX</w:t>
      </w:r>
      <w:r>
        <w:rPr>
          <w:sz w:val="22"/>
          <w:szCs w:val="22"/>
          <w:rtl w:val="0"/>
          <w:lang w:val="en-US"/>
        </w:rPr>
        <w:t xml:space="preserve"> to support the International Conference Against War in London on 20 June. 118 UK trade union branches and trades councils and hundreds of international trade union branches supported this. 3,000 trade unionists and activists from at least 27 countries attended the conference. </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ind w:left="720" w:firstLine="0"/>
        <w:rPr>
          <w:sz w:val="22"/>
          <w:szCs w:val="22"/>
        </w:rPr>
      </w:pPr>
    </w:p>
    <w:p>
      <w:pPr>
        <w:pStyle w:val="Default"/>
        <w:numPr>
          <w:ilvl w:val="0"/>
          <w:numId w:val="2"/>
        </w:numPr>
        <w:bidi w:val="0"/>
        <w:spacing w:before="0"/>
        <w:ind w:right="0"/>
        <w:jc w:val="left"/>
        <w:rPr>
          <w:b w:val="1"/>
          <w:bCs w:val="1"/>
          <w:sz w:val="22"/>
          <w:szCs w:val="22"/>
          <w:rtl w:val="0"/>
          <w:lang w:val="en-US"/>
        </w:rPr>
      </w:pPr>
      <w:r>
        <w:rPr>
          <w:b w:val="0"/>
          <w:bCs w:val="0"/>
          <w:sz w:val="22"/>
          <w:szCs w:val="22"/>
          <w:rtl w:val="0"/>
          <w:lang w:val="en-US"/>
        </w:rPr>
        <w:t xml:space="preserve">The conference adopted </w:t>
      </w:r>
      <w:r>
        <w:rPr>
          <w:rStyle w:val="Hyperlink.0"/>
          <w:b w:val="0"/>
          <w:bCs w:val="0"/>
          <w:sz w:val="22"/>
          <w:szCs w:val="22"/>
        </w:rPr>
        <w:fldChar w:fldCharType="begin" w:fldLock="0"/>
      </w:r>
      <w:r>
        <w:rPr>
          <w:rStyle w:val="Hyperlink.0"/>
          <w:b w:val="0"/>
          <w:bCs w:val="0"/>
          <w:sz w:val="22"/>
          <w:szCs w:val="22"/>
        </w:rPr>
        <w:instrText xml:space="preserve"> HYPERLINK "https://d30m66y232rpq4.cloudfront.net/uploads/2026/06/Conference-Statement.pdf"</w:instrText>
      </w:r>
      <w:r>
        <w:rPr>
          <w:rStyle w:val="Hyperlink.0"/>
          <w:b w:val="0"/>
          <w:bCs w:val="0"/>
          <w:sz w:val="22"/>
          <w:szCs w:val="22"/>
        </w:rPr>
        <w:fldChar w:fldCharType="separate" w:fldLock="0"/>
      </w:r>
      <w:r>
        <w:rPr>
          <w:rStyle w:val="Hyperlink.0"/>
          <w:b w:val="0"/>
          <w:bCs w:val="0"/>
          <w:sz w:val="22"/>
          <w:szCs w:val="22"/>
          <w:rtl w:val="0"/>
          <w:lang w:val="en-US"/>
        </w:rPr>
        <w:t>a statement</w:t>
      </w:r>
      <w:r>
        <w:rPr>
          <w:b w:val="1"/>
          <w:bCs w:val="1"/>
          <w:sz w:val="22"/>
          <w:szCs w:val="22"/>
        </w:rPr>
        <w:fldChar w:fldCharType="end" w:fldLock="0"/>
      </w:r>
      <w:r>
        <w:rPr>
          <w:b w:val="0"/>
          <w:bCs w:val="0"/>
          <w:sz w:val="22"/>
          <w:szCs w:val="22"/>
          <w:rtl w:val="0"/>
          <w:lang w:val="en-US"/>
        </w:rPr>
        <w:t xml:space="preserve"> which sets out the basis for an international movement against war and militarism and agreed three international days of action: on 10 October for Palestine, on 20 - 22 November against militarism and conscription, and in support of an international day of action by dockworkers against war on 30 October.</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rPr>
          <w:b w:val="1"/>
          <w:bCs w:val="1"/>
          <w:sz w:val="22"/>
          <w:szCs w:val="22"/>
        </w:rPr>
      </w:pP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rPr>
          <w:sz w:val="22"/>
          <w:szCs w:val="22"/>
        </w:rPr>
      </w:pPr>
      <w:r>
        <w:rPr>
          <w:sz w:val="22"/>
          <w:szCs w:val="22"/>
          <w:lang w:val="en-US"/>
        </w:rPr>
        <w:tab/>
      </w:r>
      <w:r>
        <w:rPr>
          <w:b w:val="1"/>
          <w:bCs w:val="1"/>
          <w:sz w:val="22"/>
          <w:szCs w:val="22"/>
          <w:rtl w:val="0"/>
          <w:lang w:val="en-US"/>
        </w:rPr>
        <w:t>XX</w:t>
      </w:r>
      <w:r>
        <w:rPr>
          <w:b w:val="1"/>
          <w:bCs w:val="1"/>
          <w:sz w:val="22"/>
          <w:szCs w:val="22"/>
          <w:rtl w:val="0"/>
          <w:lang w:val="en-US"/>
        </w:rPr>
        <w:t xml:space="preserve"> StW AGM believes:</w:t>
      </w:r>
      <w:r>
        <w:rPr>
          <w:b w:val="1"/>
          <w:bCs w:val="1"/>
          <w:sz w:val="22"/>
          <w:szCs w:val="22"/>
          <w:lang w:val="en-US"/>
        </w:rPr>
        <w:br w:type="textWrapping"/>
      </w:r>
    </w:p>
    <w:p>
      <w:pPr>
        <w:pStyle w:val="Default"/>
        <w:numPr>
          <w:ilvl w:val="0"/>
          <w:numId w:val="4"/>
        </w:numPr>
        <w:bidi w:val="0"/>
        <w:spacing w:before="0"/>
        <w:ind w:right="0"/>
        <w:jc w:val="left"/>
        <w:rPr>
          <w:sz w:val="22"/>
          <w:szCs w:val="22"/>
          <w:rtl w:val="0"/>
          <w:lang w:val="en-US"/>
        </w:rPr>
      </w:pPr>
      <w:r>
        <w:rPr>
          <w:sz w:val="22"/>
          <w:szCs w:val="22"/>
          <w:rtl w:val="0"/>
          <w:lang w:val="en-US"/>
        </w:rPr>
        <w:t>That European governments, as well as our own under the new Prime Minister Andy Burnham, are continuing to facilitate Israel</w:t>
      </w:r>
      <w:r>
        <w:rPr>
          <w:sz w:val="22"/>
          <w:szCs w:val="22"/>
          <w:rtl w:val="0"/>
          <w:lang w:val="en-US"/>
        </w:rPr>
        <w:t>’</w:t>
      </w:r>
      <w:r>
        <w:rPr>
          <w:sz w:val="22"/>
          <w:szCs w:val="22"/>
          <w:rtl w:val="0"/>
          <w:lang w:val="en-US"/>
        </w:rPr>
        <w:t>s genocide, are continuing to fuel conflict in Ukraine, are complicit in Trump</w:t>
      </w:r>
      <w:r>
        <w:rPr>
          <w:sz w:val="22"/>
          <w:szCs w:val="22"/>
          <w:rtl w:val="0"/>
          <w:lang w:val="en-US"/>
        </w:rPr>
        <w:t>’</w:t>
      </w:r>
      <w:r>
        <w:rPr>
          <w:sz w:val="22"/>
          <w:szCs w:val="22"/>
          <w:rtl w:val="0"/>
          <w:lang w:val="en-US"/>
        </w:rPr>
        <w:t>s wars, and are leading a drive towards mass rearmament and remilitarisation.</w:t>
      </w:r>
      <w:r>
        <w:rPr>
          <w:sz w:val="22"/>
          <w:szCs w:val="22"/>
        </w:rPr>
        <w:br w:type="textWrapping"/>
      </w:r>
    </w:p>
    <w:p>
      <w:pPr>
        <w:pStyle w:val="Default"/>
        <w:numPr>
          <w:ilvl w:val="0"/>
          <w:numId w:val="4"/>
        </w:numPr>
        <w:bidi w:val="0"/>
        <w:spacing w:before="0"/>
        <w:ind w:right="0"/>
        <w:jc w:val="left"/>
        <w:rPr>
          <w:sz w:val="22"/>
          <w:szCs w:val="22"/>
          <w:rtl w:val="0"/>
          <w:lang w:val="en-US"/>
        </w:rPr>
      </w:pPr>
      <w:r>
        <w:rPr>
          <w:sz w:val="22"/>
          <w:szCs w:val="22"/>
          <w:rtl w:val="0"/>
          <w:lang w:val="en-US"/>
        </w:rPr>
        <w:t>To fund this rampant militarism, European governments are preparing widespread cuts to welfare and investment in public services which will further impoverish working-class people already bearing the brunt of a deepening cost-of-living crisis.</w:t>
      </w:r>
      <w:r>
        <w:rPr>
          <w:sz w:val="22"/>
          <w:szCs w:val="22"/>
        </w:rPr>
        <w:br w:type="textWrapping"/>
      </w:r>
    </w:p>
    <w:p>
      <w:pPr>
        <w:pStyle w:val="Default"/>
        <w:numPr>
          <w:ilvl w:val="0"/>
          <w:numId w:val="4"/>
        </w:numPr>
        <w:bidi w:val="0"/>
        <w:spacing w:before="0"/>
        <w:ind w:right="0"/>
        <w:jc w:val="left"/>
        <w:rPr>
          <w:sz w:val="22"/>
          <w:szCs w:val="22"/>
          <w:rtl w:val="0"/>
          <w:lang w:val="en-US"/>
        </w:rPr>
      </w:pPr>
      <w:r>
        <w:rPr>
          <w:sz w:val="22"/>
          <w:szCs w:val="22"/>
          <w:rtl w:val="0"/>
          <w:lang w:val="en-US"/>
        </w:rPr>
        <w:t>The nationalism and Islamophobia generated by this foreign policy are driving the growth of the far right in Britain and across the continent.</w:t>
      </w:r>
      <w:r>
        <w:rPr>
          <w:sz w:val="22"/>
          <w:szCs w:val="22"/>
        </w:rPr>
        <w:br w:type="textWrapping"/>
      </w:r>
    </w:p>
    <w:p>
      <w:pPr>
        <w:pStyle w:val="Default"/>
        <w:numPr>
          <w:ilvl w:val="0"/>
          <w:numId w:val="4"/>
        </w:numPr>
        <w:bidi w:val="0"/>
        <w:spacing w:before="0"/>
        <w:ind w:right="0"/>
        <w:jc w:val="left"/>
        <w:rPr>
          <w:sz w:val="22"/>
          <w:szCs w:val="22"/>
          <w:rtl w:val="0"/>
          <w:lang w:val="en-US"/>
        </w:rPr>
      </w:pPr>
      <w:r>
        <w:rPr>
          <w:sz w:val="22"/>
          <w:szCs w:val="22"/>
          <w:rtl w:val="0"/>
          <w:lang w:val="en-US"/>
        </w:rPr>
        <w:t>An internationally-coordinated anti-war movement led by trade unions is an urgent necessity to resist the drive to war, the attacks on working people and the growth of the far right.</w:t>
      </w:r>
      <w:r>
        <w:rPr>
          <w:sz w:val="22"/>
          <w:szCs w:val="22"/>
        </w:rPr>
        <w:br w:type="textWrapping"/>
      </w:r>
    </w:p>
    <w:p>
      <w:pPr>
        <w:pStyle w:val="Default"/>
        <w:numPr>
          <w:ilvl w:val="0"/>
          <w:numId w:val="4"/>
        </w:numPr>
        <w:bidi w:val="0"/>
        <w:spacing w:before="0"/>
        <w:ind w:right="0"/>
        <w:jc w:val="left"/>
        <w:rPr>
          <w:sz w:val="22"/>
          <w:szCs w:val="22"/>
          <w:rtl w:val="0"/>
          <w:lang w:val="en-US"/>
        </w:rPr>
      </w:pPr>
      <w:r>
        <w:rPr>
          <w:sz w:val="22"/>
          <w:szCs w:val="22"/>
          <w:rtl w:val="0"/>
          <w:lang w:val="en-US"/>
        </w:rPr>
        <w:t>That the International Conference Against War was a big step towards building such a movement.</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ind w:left="720" w:firstLine="0"/>
        <w:rPr>
          <w:sz w:val="22"/>
          <w:szCs w:val="22"/>
        </w:rPr>
      </w:pPr>
    </w:p>
    <w:p>
      <w:pPr>
        <w:pStyle w:val="Default"/>
        <w:numPr>
          <w:ilvl w:val="0"/>
          <w:numId w:val="4"/>
        </w:numPr>
        <w:bidi w:val="0"/>
        <w:spacing w:before="0"/>
        <w:ind w:right="0"/>
        <w:jc w:val="left"/>
        <w:rPr>
          <w:sz w:val="22"/>
          <w:szCs w:val="22"/>
          <w:rtl w:val="0"/>
          <w:lang w:val="en-US"/>
        </w:rPr>
      </w:pPr>
      <w:r>
        <w:rPr>
          <w:sz w:val="22"/>
          <w:szCs w:val="22"/>
          <w:rtl w:val="0"/>
          <w:lang w:val="en-US"/>
        </w:rPr>
        <w:t xml:space="preserve">In </w:t>
      </w:r>
      <w:r>
        <w:rPr>
          <w:sz w:val="22"/>
          <w:szCs w:val="22"/>
          <w:rtl w:val="0"/>
          <w:lang w:val="en-US"/>
        </w:rPr>
        <w:t>[place]</w:t>
      </w:r>
      <w:r>
        <w:rPr>
          <w:sz w:val="22"/>
          <w:szCs w:val="22"/>
          <w:rtl w:val="0"/>
          <w:lang w:val="en-US"/>
        </w:rPr>
        <w:t xml:space="preserve">, we must continue to mobilise the Palestine movement and socialist activists to build a mass movement that is united against increasing international militarism, making clear links about how every member of the working class are struggling under the continued cost of living crisis with under-funded public services, an impossible housing situation, and austerity measures. These conditions have blighted the working class since the inception of capitalism and before. </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rPr>
          <w:sz w:val="22"/>
          <w:szCs w:val="22"/>
        </w:rPr>
      </w:pP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rPr>
          <w:sz w:val="22"/>
          <w:szCs w:val="22"/>
        </w:rPr>
      </w:pPr>
      <w:r>
        <w:rPr>
          <w:sz w:val="22"/>
          <w:szCs w:val="22"/>
          <w:lang w:val="en-US"/>
        </w:rPr>
        <w:tab/>
      </w:r>
      <w:r>
        <w:rPr>
          <w:b w:val="1"/>
          <w:bCs w:val="1"/>
          <w:sz w:val="22"/>
          <w:szCs w:val="22"/>
          <w:rtl w:val="0"/>
          <w:lang w:val="en-US"/>
        </w:rPr>
        <w:t xml:space="preserve">XX </w:t>
      </w:r>
      <w:r>
        <w:rPr>
          <w:b w:val="1"/>
          <w:bCs w:val="1"/>
          <w:sz w:val="22"/>
          <w:szCs w:val="22"/>
          <w:rtl w:val="0"/>
          <w:lang w:val="en-US"/>
        </w:rPr>
        <w:t>StW AGM resolves:</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rPr>
          <w:sz w:val="22"/>
          <w:szCs w:val="22"/>
          <w:lang w:val="en-US"/>
        </w:rPr>
      </w:pPr>
    </w:p>
    <w:p>
      <w:pPr>
        <w:pStyle w:val="Default"/>
        <w:numPr>
          <w:ilvl w:val="0"/>
          <w:numId w:val="6"/>
        </w:numPr>
        <w:bidi w:val="0"/>
        <w:spacing w:before="0"/>
        <w:ind w:right="0"/>
        <w:jc w:val="left"/>
        <w:rPr>
          <w:sz w:val="22"/>
          <w:szCs w:val="22"/>
          <w:rtl w:val="0"/>
          <w:lang w:val="en-US"/>
        </w:rPr>
      </w:pPr>
      <w:r>
        <w:rPr>
          <w:sz w:val="22"/>
          <w:szCs w:val="22"/>
          <w:rtl w:val="0"/>
          <w:lang w:val="en-US"/>
        </w:rPr>
        <w:t xml:space="preserve">To support </w:t>
      </w:r>
      <w:r>
        <w:rPr>
          <w:rStyle w:val="Hyperlink.1"/>
          <w:sz w:val="22"/>
          <w:szCs w:val="22"/>
          <w:lang w:val="en-US"/>
        </w:rPr>
        <w:fldChar w:fldCharType="begin" w:fldLock="0"/>
      </w:r>
      <w:r>
        <w:rPr>
          <w:rStyle w:val="Hyperlink.1"/>
          <w:sz w:val="22"/>
          <w:szCs w:val="22"/>
          <w:lang w:val="en-US"/>
        </w:rPr>
        <w:instrText xml:space="preserve"> HYPERLINK "https://d30m66y232rpq4.cloudfront.net/uploads/2026/06/Conference-Statement.pdf"</w:instrText>
      </w:r>
      <w:r>
        <w:rPr>
          <w:rStyle w:val="Hyperlink.1"/>
          <w:sz w:val="22"/>
          <w:szCs w:val="22"/>
          <w:lang w:val="en-US"/>
        </w:rPr>
        <w:fldChar w:fldCharType="separate" w:fldLock="0"/>
      </w:r>
      <w:r>
        <w:rPr>
          <w:rStyle w:val="Hyperlink.1"/>
          <w:sz w:val="22"/>
          <w:szCs w:val="22"/>
          <w:rtl w:val="0"/>
          <w:lang w:val="en-US"/>
        </w:rPr>
        <w:t>the statement</w:t>
      </w:r>
      <w:r>
        <w:rPr>
          <w:sz w:val="22"/>
          <w:szCs w:val="22"/>
          <w:lang w:val="en-US"/>
        </w:rPr>
        <w:fldChar w:fldCharType="end" w:fldLock="0"/>
      </w:r>
      <w:r>
        <w:rPr>
          <w:sz w:val="22"/>
          <w:szCs w:val="22"/>
          <w:rtl w:val="0"/>
          <w:lang w:val="en-US"/>
        </w:rPr>
        <w:t xml:space="preserve"> adopted by the International Conference Against War.</w:t>
      </w:r>
      <w:r>
        <w:rPr>
          <w:sz w:val="22"/>
          <w:szCs w:val="22"/>
          <w:lang w:val="en-US"/>
        </w:rPr>
        <w:br w:type="textWrapping"/>
      </w:r>
    </w:p>
    <w:p>
      <w:pPr>
        <w:pStyle w:val="Default"/>
        <w:numPr>
          <w:ilvl w:val="0"/>
          <w:numId w:val="6"/>
        </w:numPr>
        <w:bidi w:val="0"/>
        <w:spacing w:before="0"/>
        <w:ind w:right="0"/>
        <w:jc w:val="left"/>
        <w:rPr>
          <w:sz w:val="22"/>
          <w:szCs w:val="22"/>
          <w:rtl w:val="0"/>
          <w:lang w:val="en-US"/>
        </w:rPr>
      </w:pPr>
      <w:r>
        <w:rPr>
          <w:sz w:val="22"/>
          <w:szCs w:val="22"/>
          <w:rtl w:val="0"/>
          <w:lang w:val="en-US"/>
        </w:rPr>
        <w:t xml:space="preserve">To build the international days of action in October and November including by </w:t>
      </w:r>
      <w:r>
        <w:rPr>
          <w:sz w:val="22"/>
          <w:szCs w:val="22"/>
          <w:rtl w:val="0"/>
          <w:lang w:val="en-US"/>
        </w:rPr>
        <w:t>assisting in the production and circulation of material advertising the days of action using the conference logo (below).</w:t>
      </w:r>
      <w:r>
        <w:rPr>
          <w:sz w:val="22"/>
          <w:szCs w:val="22"/>
          <w:lang w:val="en-US"/>
        </w:rPr>
        <w:br w:type="textWrapping"/>
      </w:r>
    </w:p>
    <w:p>
      <w:pPr>
        <w:pStyle w:val="Default"/>
        <w:numPr>
          <w:ilvl w:val="0"/>
          <w:numId w:val="6"/>
        </w:numPr>
        <w:bidi w:val="0"/>
        <w:spacing w:before="0"/>
        <w:ind w:right="0"/>
        <w:jc w:val="left"/>
        <w:rPr>
          <w:sz w:val="22"/>
          <w:szCs w:val="22"/>
          <w:rtl w:val="0"/>
        </w:rPr>
      </w:pPr>
      <w:r>
        <w:rPr>
          <w:sz w:val="22"/>
          <w:szCs w:val="22"/>
        </w:rPr>
        <w:drawing xmlns:a="http://schemas.openxmlformats.org/drawingml/2006/main">
          <wp:anchor distT="0" distB="0" distL="0" distR="0" simplePos="0" relativeHeight="251657216" behindDoc="1" locked="0" layoutInCell="1" allowOverlap="1">
            <wp:simplePos x="0" y="0"/>
            <wp:positionH relativeFrom="column">
              <wp:posOffset>4427220</wp:posOffset>
            </wp:positionH>
            <wp:positionV relativeFrom="line">
              <wp:posOffset>34925</wp:posOffset>
            </wp:positionV>
            <wp:extent cx="1965961" cy="2162314"/>
            <wp:effectExtent l="0" t="0" r="0" b="0"/>
            <wp:wrapNone/>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4">
                      <a:extLst/>
                    </a:blip>
                    <a:stretch>
                      <a:fillRect/>
                    </a:stretch>
                  </pic:blipFill>
                  <pic:spPr>
                    <a:xfrm>
                      <a:off x="0" y="0"/>
                      <a:ext cx="1965961" cy="2162314"/>
                    </a:xfrm>
                    <a:prstGeom prst="rect">
                      <a:avLst/>
                    </a:prstGeom>
                    <a:ln w="12700" cap="flat">
                      <a:noFill/>
                      <a:miter lim="400000"/>
                    </a:ln>
                    <a:effectLst/>
                  </pic:spPr>
                </pic:pic>
              </a:graphicData>
            </a:graphic>
          </wp:anchor>
        </w:drawing>
      </w:r>
      <w:r>
        <w:rPr>
          <w:sz w:val="22"/>
          <w:szCs w:val="22"/>
          <w:rtl w:val="0"/>
          <w:lang w:val="en-US"/>
        </w:rPr>
        <w:t>To build the international days of action and future anti-war conferences in the wider trade union movement.</w:t>
      </w:r>
      <w:r>
        <w:rPr>
          <w:sz w:val="22"/>
          <w:szCs w:val="22"/>
        </w:rPr>
        <w:br w:type="textWrapping"/>
      </w:r>
    </w:p>
    <w:p>
      <w:pPr>
        <w:pStyle w:val="Default"/>
        <w:numPr>
          <w:ilvl w:val="0"/>
          <w:numId w:val="6"/>
        </w:numPr>
        <w:bidi w:val="0"/>
        <w:spacing w:before="0"/>
        <w:ind w:right="0"/>
        <w:jc w:val="left"/>
        <w:rPr>
          <w:sz w:val="22"/>
          <w:szCs w:val="22"/>
          <w:rtl w:val="0"/>
          <w:lang w:val="en-US"/>
        </w:rPr>
      </w:pPr>
      <w:r>
        <w:rPr>
          <w:sz w:val="22"/>
          <w:szCs w:val="22"/>
          <w:rtl w:val="0"/>
          <w:lang w:val="en-US"/>
        </w:rPr>
        <w:t xml:space="preserve">To </w:t>
      </w:r>
      <w:r>
        <w:rPr>
          <w:rStyle w:val="Hyperlink.1"/>
          <w:sz w:val="22"/>
          <w:szCs w:val="22"/>
          <w:lang w:val="en-US"/>
        </w:rPr>
        <w:fldChar w:fldCharType="begin" w:fldLock="0"/>
      </w:r>
      <w:r>
        <w:rPr>
          <w:rStyle w:val="Hyperlink.1"/>
          <w:sz w:val="22"/>
          <w:szCs w:val="22"/>
          <w:lang w:val="en-US"/>
        </w:rPr>
        <w:instrText xml:space="preserve"> HYPERLINK "https://www.stopwar.org.uk/affiliation/"</w:instrText>
      </w:r>
      <w:r>
        <w:rPr>
          <w:rStyle w:val="Hyperlink.1"/>
          <w:sz w:val="22"/>
          <w:szCs w:val="22"/>
          <w:lang w:val="en-US"/>
        </w:rPr>
        <w:fldChar w:fldCharType="separate" w:fldLock="0"/>
      </w:r>
      <w:r>
        <w:rPr>
          <w:rStyle w:val="Hyperlink.1"/>
          <w:sz w:val="22"/>
          <w:szCs w:val="22"/>
          <w:rtl w:val="0"/>
          <w:lang w:val="en-US"/>
        </w:rPr>
        <w:t>affiliate</w:t>
      </w:r>
      <w:r>
        <w:rPr>
          <w:sz w:val="22"/>
          <w:szCs w:val="22"/>
          <w:lang w:val="en-US"/>
        </w:rPr>
        <w:fldChar w:fldCharType="end" w:fldLock="0"/>
      </w:r>
      <w:r>
        <w:rPr>
          <w:sz w:val="22"/>
          <w:szCs w:val="22"/>
          <w:rtl w:val="0"/>
          <w:lang w:val="en-US"/>
        </w:rPr>
        <w:t xml:space="preserve"> to the Stop the War Coalition and this </w:t>
      </w:r>
      <w:r>
        <w:rPr>
          <w:sz w:val="22"/>
          <w:szCs w:val="22"/>
          <w:rtl w:val="0"/>
          <w:lang w:val="en-US"/>
        </w:rPr>
        <w:t>[name]</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ind w:left="720" w:firstLine="0"/>
        <w:rPr>
          <w:sz w:val="22"/>
          <w:szCs w:val="22"/>
          <w:lang w:val="en-US"/>
        </w:rPr>
      </w:pPr>
      <w:r>
        <w:rPr>
          <w:sz w:val="22"/>
          <w:szCs w:val="22"/>
          <w:rtl w:val="0"/>
          <w:lang w:val="en-US"/>
        </w:rPr>
        <w:t>branch.</w:t>
      </w:r>
    </w:p>
    <w:p>
      <w:pPr>
        <w:pStyle w:val="Defaul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spacing w:before="0"/>
      </w:pPr>
      <w:r>
        <w:rPr>
          <w:sz w:val="22"/>
          <w:szCs w:val="22"/>
          <w:lang w:val="en-US"/>
        </w:rPr>
      </w:r>
    </w:p>
    <w:sectPr>
      <w:headerReference w:type="default" r:id="rId5"/>
      <w:footerReference w:type="default" r:id="rId6"/>
      <w:pgSz w:w="11900" w:h="16840" w:orient="portrait"/>
      <w:pgMar w:top="720" w:right="1080" w:bottom="720" w:left="1080" w:header="36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4873"/>
        <w:tab w:val="right" w:pos="9720"/>
        <w:tab w:val="clear" w:pos="9020"/>
      </w:tabs>
    </w:pPr>
    <w:r>
      <w:rPr>
        <w:rFonts w:ascii="Helvetica" w:hAnsi="Helvetica"/>
        <w:b w:val="1"/>
        <w:bCs w:val="1"/>
        <w:sz w:val="20"/>
        <w:szCs w:val="20"/>
        <w:lang w:val="en-US"/>
      </w:rPr>
      <w:tab/>
    </w:r>
    <w:r>
      <w:rPr>
        <w:rFonts w:ascii="Helvetica" w:hAnsi="Helvetica"/>
        <w:b w:val="1"/>
        <w:bCs w:val="1"/>
        <w:sz w:val="20"/>
        <w:szCs w:val="20"/>
        <w:rtl w:val="0"/>
        <w:lang w:val="en-US"/>
      </w:rPr>
      <w:t xml:space="preserve">Stop the War Coalition, </w:t>
    </w:r>
    <w:r>
      <w:rPr>
        <w:rFonts w:ascii="Helvetica" w:hAnsi="Helvetica"/>
        <w:b w:val="1"/>
        <w:bCs w:val="1"/>
        <w:sz w:val="20"/>
        <w:szCs w:val="20"/>
        <w:rtl w:val="0"/>
        <w:lang w:val="en-US"/>
      </w:rPr>
      <w:t>86 D</w:t>
    </w:r>
    <w:r>
      <w:rPr>
        <w:rFonts w:ascii="Helvetica" w:hAnsi="Helvetica"/>
        <w:b w:val="1"/>
        <w:bCs w:val="1"/>
        <w:sz w:val="20"/>
        <w:szCs w:val="20"/>
        <w:rtl w:val="0"/>
        <w:lang w:val="en-US"/>
      </w:rPr>
      <w:t>urham</w:t>
    </w:r>
    <w:r>
      <w:rPr>
        <w:rFonts w:ascii="Helvetica" w:hAnsi="Helvetica"/>
        <w:b w:val="1"/>
        <w:bCs w:val="1"/>
        <w:sz w:val="20"/>
        <w:szCs w:val="20"/>
        <w:rtl w:val="0"/>
        <w:lang w:val="en-US"/>
      </w:rPr>
      <w:t xml:space="preserve"> R</w:t>
    </w:r>
    <w:r>
      <w:rPr>
        <w:rFonts w:ascii="Helvetica" w:hAnsi="Helvetica"/>
        <w:b w:val="1"/>
        <w:bCs w:val="1"/>
        <w:sz w:val="20"/>
        <w:szCs w:val="20"/>
        <w:rtl w:val="0"/>
        <w:lang w:val="en-US"/>
      </w:rPr>
      <w:t>oad</w:t>
    </w:r>
    <w:r>
      <w:rPr>
        <w:rFonts w:ascii="Helvetica" w:hAnsi="Helvetica"/>
        <w:b w:val="1"/>
        <w:bCs w:val="1"/>
        <w:sz w:val="20"/>
        <w:szCs w:val="20"/>
        <w:rtl w:val="0"/>
        <w:lang w:val="en-US"/>
      </w:rPr>
      <w:t>,</w:t>
    </w:r>
    <w:r>
      <w:rPr>
        <w:rFonts w:ascii="Helvetica" w:hAnsi="Helvetica"/>
        <w:b w:val="1"/>
        <w:bCs w:val="1"/>
        <w:sz w:val="20"/>
        <w:szCs w:val="20"/>
        <w:rtl w:val="0"/>
        <w:lang w:val="en-US"/>
      </w:rPr>
      <w:t xml:space="preserve"> </w:t>
    </w:r>
    <w:r>
      <w:rPr>
        <w:rFonts w:ascii="Helvetica" w:hAnsi="Helvetica"/>
        <w:b w:val="1"/>
        <w:bCs w:val="1"/>
        <w:sz w:val="20"/>
        <w:szCs w:val="20"/>
        <w:rtl w:val="0"/>
        <w:lang w:val="en-US"/>
      </w:rPr>
      <w:t>L</w:t>
    </w:r>
    <w:r>
      <w:rPr>
        <w:rFonts w:ascii="Helvetica" w:hAnsi="Helvetica"/>
        <w:b w:val="1"/>
        <w:bCs w:val="1"/>
        <w:sz w:val="20"/>
        <w:szCs w:val="20"/>
        <w:rtl w:val="0"/>
        <w:lang w:val="en-US"/>
      </w:rPr>
      <w:t xml:space="preserve">ondon, </w:t>
    </w:r>
    <w:r>
      <w:rPr>
        <w:rFonts w:ascii="Helvetica" w:hAnsi="Helvetica"/>
        <w:b w:val="1"/>
        <w:bCs w:val="1"/>
        <w:sz w:val="20"/>
        <w:szCs w:val="20"/>
        <w:rtl w:val="0"/>
        <w:lang w:val="ru-RU"/>
      </w:rPr>
      <w:t>N7 7DT</w:t>
    </w:r>
    <w:r>
      <w:rPr>
        <w:rFonts w:ascii="Helvetica" w:hAnsi="Helvetica"/>
        <w:b w:val="1"/>
        <w:bCs w:val="1"/>
        <w:sz w:val="20"/>
        <w:szCs w:val="20"/>
        <w:rtl w:val="0"/>
        <w:lang w:val="en-US"/>
      </w:rPr>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4873"/>
        <w:tab w:val="right" w:pos="9720"/>
        <w:tab w:val="clear" w:pos="9020"/>
      </w:tabs>
    </w:pPr>
    <w:r>
      <w:tab/>
    </w:r>
    <w:r>
      <w:drawing xmlns:a="http://schemas.openxmlformats.org/drawingml/2006/main">
        <wp:inline distT="0" distB="0" distL="0" distR="0">
          <wp:extent cx="3927586" cy="1110383"/>
          <wp:effectExtent l="0" t="0" r="0" b="0"/>
          <wp:docPr id="1073741825" name="officeArt object" descr="image.jpeg"/>
          <wp:cNvGraphicFramePr/>
          <a:graphic xmlns:a="http://schemas.openxmlformats.org/drawingml/2006/main">
            <a:graphicData uri="http://schemas.openxmlformats.org/drawingml/2006/picture">
              <pic:pic xmlns:pic="http://schemas.openxmlformats.org/drawingml/2006/picture">
                <pic:nvPicPr>
                  <pic:cNvPr id="1073741825" name="image.jpeg" descr="image.jpeg"/>
                  <pic:cNvPicPr>
                    <a:picLocks noChangeAspect="1"/>
                  </pic:cNvPicPr>
                </pic:nvPicPr>
                <pic:blipFill>
                  <a:blip r:embed="rId1">
                    <a:extLst/>
                  </a:blip>
                  <a:stretch>
                    <a:fillRect/>
                  </a:stretch>
                </pic:blipFill>
                <pic:spPr>
                  <a:xfrm>
                    <a:off x="0" y="0"/>
                    <a:ext cx="3927586" cy="1110383"/>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360"/>
          <w:tab w:val="left" w:pos="720"/>
          <w:tab w:val="left" w:pos="1080"/>
          <w:tab w:val="left" w:pos="1440"/>
          <w:tab w:val="left" w:pos="180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360"/>
          <w:tab w:val="left" w:pos="720"/>
          <w:tab w:val="left" w:pos="108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360"/>
          <w:tab w:val="left" w:pos="720"/>
          <w:tab w:val="left" w:pos="1080"/>
          <w:tab w:val="left" w:pos="1440"/>
          <w:tab w:val="left" w:pos="1800"/>
          <w:tab w:val="left" w:pos="2160"/>
          <w:tab w:val="left" w:pos="2520"/>
          <w:tab w:val="left" w:pos="2880"/>
          <w:tab w:val="left" w:pos="324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6120"/>
          <w:tab w:val="left" w:pos="6480"/>
          <w:tab w:val="left" w:pos="6840"/>
          <w:tab w:val="left" w:pos="7200"/>
          <w:tab w:val="left" w:pos="7560"/>
          <w:tab w:val="left" w:pos="7920"/>
          <w:tab w:val="left" w:pos="8280"/>
          <w:tab w:val="left" w:pos="8640"/>
          <w:tab w:val="left" w:pos="9000"/>
          <w:tab w:val="left" w:pos="92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840"/>
          <w:tab w:val="left" w:pos="7200"/>
          <w:tab w:val="left" w:pos="7560"/>
          <w:tab w:val="left" w:pos="7920"/>
          <w:tab w:val="left" w:pos="8280"/>
          <w:tab w:val="left" w:pos="8640"/>
          <w:tab w:val="left" w:pos="9000"/>
          <w:tab w:val="left" w:pos="924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360"/>
          <w:tab w:val="left" w:pos="720"/>
          <w:tab w:val="left" w:pos="1080"/>
          <w:tab w:val="left" w:pos="1440"/>
          <w:tab w:val="left" w:pos="180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360"/>
          <w:tab w:val="left" w:pos="720"/>
          <w:tab w:val="left" w:pos="108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360"/>
          <w:tab w:val="left" w:pos="720"/>
          <w:tab w:val="left" w:pos="1080"/>
          <w:tab w:val="left" w:pos="1440"/>
          <w:tab w:val="left" w:pos="1800"/>
          <w:tab w:val="left" w:pos="2160"/>
          <w:tab w:val="left" w:pos="2520"/>
          <w:tab w:val="left" w:pos="2880"/>
          <w:tab w:val="left" w:pos="324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6120"/>
          <w:tab w:val="left" w:pos="6480"/>
          <w:tab w:val="left" w:pos="6840"/>
          <w:tab w:val="left" w:pos="7200"/>
          <w:tab w:val="left" w:pos="7560"/>
          <w:tab w:val="left" w:pos="7920"/>
          <w:tab w:val="left" w:pos="8280"/>
          <w:tab w:val="left" w:pos="8640"/>
          <w:tab w:val="left" w:pos="9000"/>
          <w:tab w:val="left" w:pos="92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840"/>
          <w:tab w:val="left" w:pos="7200"/>
          <w:tab w:val="left" w:pos="7560"/>
          <w:tab w:val="left" w:pos="7920"/>
          <w:tab w:val="left" w:pos="8280"/>
          <w:tab w:val="left" w:pos="8640"/>
          <w:tab w:val="left" w:pos="9000"/>
          <w:tab w:val="left" w:pos="924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360"/>
          <w:tab w:val="left" w:pos="720"/>
          <w:tab w:val="left" w:pos="1080"/>
          <w:tab w:val="left" w:pos="1440"/>
          <w:tab w:val="left" w:pos="180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360"/>
          <w:tab w:val="left" w:pos="720"/>
          <w:tab w:val="left" w:pos="108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360"/>
          <w:tab w:val="left" w:pos="720"/>
          <w:tab w:val="left" w:pos="1080"/>
          <w:tab w:val="left" w:pos="1440"/>
          <w:tab w:val="left" w:pos="1800"/>
          <w:tab w:val="left" w:pos="2160"/>
          <w:tab w:val="left" w:pos="2520"/>
          <w:tab w:val="left" w:pos="2880"/>
          <w:tab w:val="left" w:pos="324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400"/>
          <w:tab w:val="left" w:pos="5760"/>
          <w:tab w:val="left" w:pos="6120"/>
          <w:tab w:val="left" w:pos="6480"/>
          <w:tab w:val="left" w:pos="6840"/>
          <w:tab w:val="left" w:pos="7200"/>
          <w:tab w:val="left" w:pos="7560"/>
          <w:tab w:val="left" w:pos="7920"/>
          <w:tab w:val="left" w:pos="8280"/>
          <w:tab w:val="left" w:pos="8640"/>
          <w:tab w:val="left" w:pos="9000"/>
          <w:tab w:val="left" w:pos="92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6120"/>
          <w:tab w:val="left" w:pos="6480"/>
          <w:tab w:val="left" w:pos="6840"/>
          <w:tab w:val="left" w:pos="7200"/>
          <w:tab w:val="left" w:pos="7560"/>
          <w:tab w:val="left" w:pos="7920"/>
          <w:tab w:val="left" w:pos="8280"/>
          <w:tab w:val="left" w:pos="8640"/>
          <w:tab w:val="left" w:pos="9000"/>
          <w:tab w:val="left" w:pos="92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840"/>
          <w:tab w:val="left" w:pos="7200"/>
          <w:tab w:val="left" w:pos="7560"/>
          <w:tab w:val="left" w:pos="7920"/>
          <w:tab w:val="left" w:pos="8280"/>
          <w:tab w:val="left" w:pos="8640"/>
          <w:tab w:val="left" w:pos="9000"/>
          <w:tab w:val="left" w:pos="924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Helvetica Neue" w:cs="Helvetica Neue" w:hAnsi="Helvetica Neue" w:eastAsia="Helvetica Neue"/>
    </w:rPr>
  </w:style>
  <w:style w:type="numbering" w:styleId="Imported Style 2">
    <w:name w:val="Imported Style 2"/>
    <w:pPr>
      <w:numPr>
        <w:numId w:val="3"/>
      </w:numPr>
    </w:pPr>
  </w:style>
  <w:style w:type="numbering" w:styleId="Imported Style 3">
    <w:name w:val="Imported Style 3"/>
    <w:pPr>
      <w:numPr>
        <w:numId w:val="5"/>
      </w:numPr>
    </w:pPr>
  </w:style>
  <w:style w:type="character" w:styleId="Hyperlink.1">
    <w:name w:val="Hyperlink.1"/>
    <w:basedOn w:val="Link"/>
    <w:next w:val="Hyperlink.1"/>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